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5DF1A">
      <w:pPr>
        <w:widowControl/>
        <w:spacing w:line="560" w:lineRule="exact"/>
        <w:jc w:val="left"/>
        <w:rPr>
          <w:rFonts w:ascii="黑体" w:hAnsi="黑体" w:eastAsia="黑体" w:cs="黑体"/>
          <w:sz w:val="32"/>
          <w:szCs w:val="32"/>
        </w:rPr>
      </w:pPr>
      <w:r>
        <w:rPr>
          <w:rFonts w:hint="eastAsia" w:ascii="黑体" w:hAnsi="黑体" w:eastAsia="黑体" w:cs="黑体"/>
          <w:sz w:val="32"/>
          <w:szCs w:val="32"/>
        </w:rPr>
        <w:t>附1</w:t>
      </w:r>
    </w:p>
    <w:p w14:paraId="52616A47">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202</w:t>
      </w:r>
      <w:r>
        <w:rPr>
          <w:rFonts w:hint="eastAsia" w:ascii="方正小标宋简体" w:hAnsi="黑体" w:eastAsia="方正小标宋简体"/>
          <w:sz w:val="36"/>
          <w:szCs w:val="36"/>
          <w:lang w:val="en-US" w:eastAsia="zh-CN"/>
        </w:rPr>
        <w:t>6</w:t>
      </w:r>
      <w:r>
        <w:rPr>
          <w:rFonts w:hint="eastAsia" w:ascii="方正小标宋简体" w:hAnsi="黑体" w:eastAsia="方正小标宋简体"/>
          <w:sz w:val="36"/>
          <w:szCs w:val="36"/>
        </w:rPr>
        <w:t>年</w:t>
      </w:r>
      <w:r>
        <w:rPr>
          <w:rFonts w:hint="eastAsia" w:ascii="方正小标宋简体" w:hAnsi="黑体" w:eastAsia="方正小标宋简体"/>
          <w:sz w:val="36"/>
          <w:szCs w:val="36"/>
          <w:lang w:eastAsia="zh-CN"/>
        </w:rPr>
        <w:t>黄冈师范学院</w:t>
      </w:r>
      <w:r>
        <w:rPr>
          <w:rFonts w:hint="eastAsia" w:ascii="方正小标宋简体" w:hAnsi="黑体" w:eastAsia="方正小标宋简体"/>
          <w:sz w:val="36"/>
          <w:szCs w:val="36"/>
        </w:rPr>
        <w:t>教学改革研究项目指南</w:t>
      </w:r>
    </w:p>
    <w:p w14:paraId="6ABB3FB5">
      <w:pPr>
        <w:spacing w:line="540" w:lineRule="exact"/>
        <w:jc w:val="center"/>
        <w:outlineLvl w:val="0"/>
        <w:rPr>
          <w:rFonts w:ascii="方正小标宋简体" w:hAnsi="宋体" w:eastAsia="方正小标宋简体"/>
          <w:sz w:val="32"/>
          <w:szCs w:val="32"/>
        </w:rPr>
      </w:pPr>
      <w:bookmarkStart w:id="2" w:name="_GoBack"/>
      <w:bookmarkEnd w:id="2"/>
    </w:p>
    <w:p w14:paraId="0DBA376F">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一、高等教育发展战略及体制机制研究</w:t>
      </w:r>
    </w:p>
    <w:p w14:paraId="3CAB05A1">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1.高等教育发展战略及高校体制机制改革研究</w:t>
      </w:r>
    </w:p>
    <w:p w14:paraId="43725F17">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结合高等教育发展趋势和我省实际，开展湖北高等教育发展战略研究和湖北高等教育竞争力研究；湖北省高等教育规模、结构、质量、效益协调发展和可持续发展机制的研究与实践；湖北省高等教育内涵发展的路径研究；湖北省高等学校分类管理研究；高等学校办学定位与办学特色研究；高等学校创新产学研合作机制研究；高等学校科教融汇机制研究；高等教育人才培养与经济社会发展需要适配机制研究；高校治理体系和治理能力现代化研究；东中西部高校协作、对口支援提升办学能力方面研究；民办高校、独立学院的体制和运行机制的研究与实践；成人高等学历教育、自学考试学历教育人才培养目标定位、培养模式、质量保障体制机制研究。</w:t>
      </w:r>
    </w:p>
    <w:p w14:paraId="067F982F">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2.高等教育综合改革试点研究</w:t>
      </w:r>
    </w:p>
    <w:p w14:paraId="326884C9">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对接国家人才高地和人才聚集平台建设布局，开展“两个先行先试”，分类推进突破性牵引改革、创新性试点改革、筑基性体系关键性政策改革等方面改革创新研究与实践；强化有组织人才培养、有组织科技创新、有组织服务国家和区域发展，凝练总结可复制可推广的体制机制和组织形态创新经验，牵引带动高等教育深层次、全方位改革创新发展方面的创新研究与实践。</w:t>
      </w:r>
    </w:p>
    <w:p w14:paraId="1A33161A">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二、“大思政”育人格局研究</w:t>
      </w:r>
    </w:p>
    <w:p w14:paraId="638C21D4">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3.“大思政课”教育改革研究</w:t>
      </w:r>
    </w:p>
    <w:p w14:paraId="0D26552E">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校在深化“大思政课”教育教学改革，推进习近平新时代中国特色社会主义思想融入专业教育全过程等方面改革与研究；推进习近平法治思想“三进”等方面研究；“马工程”重点教材的应用与研究等；高校在系统推进新时代中国特色社会主义教育、社会主义核心价值观教育、法治教育、劳动教育、心理健康教育、中华优秀传统文化教育等研究与实践。</w:t>
      </w:r>
    </w:p>
    <w:p w14:paraId="2B47BE70">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4.课程思政研究</w:t>
      </w:r>
    </w:p>
    <w:p w14:paraId="5AA7301E">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新时代高校课程思政教学模式创新探索；结合学科专业特点完善专业类课程思政教学指南，推进思政元素融入课程教学的改革和创新研究；课程思政融入课堂教学全过程的方法途径探索与实践；推进教师思政能力建设的机制研究；课程思政建设质量评价体系和激励机制的探索与研究等。</w:t>
      </w:r>
    </w:p>
    <w:p w14:paraId="362E65F3">
      <w:pPr>
        <w:adjustRightInd w:val="0"/>
        <w:snapToGrid w:val="0"/>
        <w:spacing w:line="560" w:lineRule="exact"/>
        <w:ind w:firstLine="643" w:firstLineChars="200"/>
        <w:rPr>
          <w:rFonts w:hint="eastAsia" w:ascii="楷体_GB2312" w:hAnsi="仿宋" w:eastAsia="楷体_GB2312"/>
          <w:b/>
          <w:sz w:val="32"/>
          <w:szCs w:val="32"/>
          <w:lang w:val="en-US" w:eastAsia="zh-CN"/>
        </w:rPr>
      </w:pPr>
      <w:r>
        <w:rPr>
          <w:rFonts w:hint="eastAsia" w:ascii="楷体_GB2312" w:hAnsi="仿宋" w:eastAsia="楷体_GB2312"/>
          <w:b/>
          <w:sz w:val="32"/>
          <w:szCs w:val="32"/>
          <w:lang w:val="en-US" w:eastAsia="zh-CN"/>
        </w:rPr>
        <w:t>5.大中小学思政课一体化建设专题</w:t>
      </w:r>
    </w:p>
    <w:p w14:paraId="17DB0108">
      <w:pPr>
        <w:numPr>
          <w:ilvl w:val="0"/>
          <w:numId w:val="0"/>
        </w:numPr>
        <w:adjustRightInd w:val="0"/>
        <w:snapToGrid w:val="0"/>
        <w:spacing w:line="560" w:lineRule="exact"/>
        <w:ind w:left="0" w:leftChars="0" w:firstLine="640" w:firstLineChars="200"/>
        <w:rPr>
          <w:rFonts w:hint="eastAsia" w:ascii="仿宋" w:hAnsi="仿宋" w:eastAsia="仿宋_GB2312"/>
          <w:sz w:val="32"/>
          <w:szCs w:val="32"/>
          <w:lang w:eastAsia="zh-CN"/>
        </w:rPr>
      </w:pPr>
      <w:r>
        <w:rPr>
          <w:rFonts w:hint="eastAsia" w:ascii="仿宋" w:hAnsi="仿宋" w:eastAsia="仿宋_GB2312"/>
          <w:sz w:val="32"/>
          <w:szCs w:val="32"/>
        </w:rPr>
        <w:t>新时代大中小学思政教师队伍一体化建设研究</w:t>
      </w:r>
      <w:r>
        <w:rPr>
          <w:rFonts w:hint="eastAsia" w:ascii="仿宋" w:hAnsi="仿宋" w:eastAsia="仿宋_GB2312"/>
          <w:sz w:val="32"/>
          <w:szCs w:val="32"/>
          <w:lang w:eastAsia="zh-CN"/>
        </w:rPr>
        <w:t>；</w:t>
      </w:r>
      <w:r>
        <w:rPr>
          <w:rFonts w:hint="eastAsia" w:ascii="仿宋" w:hAnsi="仿宋" w:eastAsia="仿宋_GB2312"/>
          <w:sz w:val="32"/>
          <w:szCs w:val="32"/>
        </w:rPr>
        <w:t>大中小学思政课程体系一体化建设研究</w:t>
      </w:r>
      <w:r>
        <w:rPr>
          <w:rFonts w:hint="eastAsia" w:ascii="仿宋" w:hAnsi="仿宋" w:eastAsia="仿宋_GB2312"/>
          <w:sz w:val="32"/>
          <w:szCs w:val="32"/>
          <w:lang w:eastAsia="zh-CN"/>
        </w:rPr>
        <w:t>；</w:t>
      </w:r>
      <w:r>
        <w:rPr>
          <w:rFonts w:hint="eastAsia" w:ascii="仿宋" w:hAnsi="仿宋" w:eastAsia="仿宋_GB2312"/>
          <w:sz w:val="32"/>
          <w:szCs w:val="32"/>
        </w:rPr>
        <w:t>“大思政”体系下思政活动课程的研究与实践</w:t>
      </w:r>
      <w:r>
        <w:rPr>
          <w:rFonts w:hint="eastAsia" w:ascii="仿宋" w:hAnsi="仿宋" w:eastAsia="仿宋_GB2312"/>
          <w:sz w:val="32"/>
          <w:szCs w:val="32"/>
          <w:lang w:eastAsia="zh-CN"/>
        </w:rPr>
        <w:t>；</w:t>
      </w:r>
      <w:r>
        <w:rPr>
          <w:rFonts w:hint="eastAsia" w:ascii="仿宋" w:hAnsi="仿宋" w:eastAsia="仿宋_GB2312"/>
          <w:sz w:val="32"/>
          <w:szCs w:val="32"/>
        </w:rPr>
        <w:t>大中小学思政课实践教学研究</w:t>
      </w:r>
      <w:r>
        <w:rPr>
          <w:rFonts w:hint="eastAsia" w:ascii="仿宋" w:hAnsi="仿宋" w:eastAsia="仿宋_GB2312"/>
          <w:sz w:val="32"/>
          <w:szCs w:val="32"/>
          <w:lang w:eastAsia="zh-CN"/>
        </w:rPr>
        <w:t>；</w:t>
      </w:r>
      <w:r>
        <w:rPr>
          <w:rFonts w:hint="eastAsia" w:ascii="仿宋" w:hAnsi="仿宋" w:eastAsia="仿宋_GB2312"/>
          <w:sz w:val="32"/>
          <w:szCs w:val="32"/>
        </w:rPr>
        <w:t>大中小学思政课一体化建设教学质量评价研究</w:t>
      </w:r>
      <w:r>
        <w:rPr>
          <w:rFonts w:hint="eastAsia" w:ascii="仿宋" w:hAnsi="仿宋" w:eastAsia="仿宋_GB2312"/>
          <w:sz w:val="32"/>
          <w:szCs w:val="32"/>
          <w:lang w:eastAsia="zh-CN"/>
        </w:rPr>
        <w:t>；</w:t>
      </w:r>
      <w:r>
        <w:rPr>
          <w:rFonts w:hint="eastAsia" w:ascii="仿宋" w:hAnsi="仿宋" w:eastAsia="仿宋_GB2312"/>
          <w:sz w:val="32"/>
          <w:szCs w:val="32"/>
        </w:rPr>
        <w:t>黄冈地方特色资源融入大中小思政课研究（医药文化、红色文化、名人文化等）</w:t>
      </w:r>
      <w:r>
        <w:rPr>
          <w:rFonts w:hint="eastAsia" w:ascii="仿宋" w:hAnsi="仿宋" w:eastAsia="仿宋_GB2312"/>
          <w:sz w:val="32"/>
          <w:szCs w:val="32"/>
          <w:lang w:eastAsia="zh-CN"/>
        </w:rPr>
        <w:t>；</w:t>
      </w:r>
      <w:r>
        <w:rPr>
          <w:rFonts w:hint="eastAsia" w:ascii="仿宋" w:hAnsi="仿宋" w:eastAsia="仿宋_GB2312"/>
          <w:sz w:val="32"/>
          <w:szCs w:val="32"/>
        </w:rPr>
        <w:t>大中小学思政课有效课堂研究</w:t>
      </w:r>
      <w:r>
        <w:rPr>
          <w:rFonts w:hint="eastAsia" w:ascii="仿宋" w:hAnsi="仿宋" w:eastAsia="仿宋_GB2312"/>
          <w:sz w:val="32"/>
          <w:szCs w:val="32"/>
          <w:lang w:eastAsia="zh-CN"/>
        </w:rPr>
        <w:t>；</w:t>
      </w:r>
      <w:r>
        <w:rPr>
          <w:rFonts w:hint="eastAsia" w:ascii="仿宋" w:hAnsi="仿宋" w:eastAsia="仿宋_GB2312"/>
          <w:sz w:val="32"/>
          <w:szCs w:val="32"/>
        </w:rPr>
        <w:t>大中小学思政课一体化共同体建设研究</w:t>
      </w:r>
      <w:r>
        <w:rPr>
          <w:rFonts w:hint="eastAsia" w:ascii="仿宋" w:hAnsi="仿宋" w:eastAsia="仿宋_GB2312"/>
          <w:sz w:val="32"/>
          <w:szCs w:val="32"/>
          <w:lang w:eastAsia="zh-CN"/>
        </w:rPr>
        <w:t>；</w:t>
      </w:r>
      <w:r>
        <w:rPr>
          <w:rFonts w:hint="eastAsia" w:ascii="仿宋" w:hAnsi="仿宋" w:eastAsia="仿宋_GB2312"/>
          <w:sz w:val="32"/>
          <w:szCs w:val="32"/>
        </w:rPr>
        <w:t>“思政课教育研究与实践基地”建设与应用研究</w:t>
      </w:r>
      <w:r>
        <w:rPr>
          <w:rFonts w:hint="eastAsia" w:ascii="仿宋" w:hAnsi="仿宋" w:eastAsia="仿宋_GB2312"/>
          <w:sz w:val="32"/>
          <w:szCs w:val="32"/>
          <w:lang w:eastAsia="zh-CN"/>
        </w:rPr>
        <w:t>；</w:t>
      </w:r>
      <w:r>
        <w:rPr>
          <w:rFonts w:hint="eastAsia" w:ascii="仿宋" w:hAnsi="仿宋" w:eastAsia="仿宋_GB2312"/>
          <w:sz w:val="32"/>
          <w:szCs w:val="32"/>
        </w:rPr>
        <w:t>AI赋能大中小学思政课一体化建设路径研究</w:t>
      </w:r>
      <w:r>
        <w:rPr>
          <w:rFonts w:hint="eastAsia" w:ascii="仿宋" w:hAnsi="仿宋" w:eastAsia="仿宋_GB2312"/>
          <w:sz w:val="32"/>
          <w:szCs w:val="32"/>
          <w:lang w:eastAsia="zh-CN"/>
        </w:rPr>
        <w:t>；</w:t>
      </w:r>
      <w:r>
        <w:rPr>
          <w:rFonts w:hint="eastAsia" w:ascii="仿宋" w:hAnsi="仿宋" w:eastAsia="仿宋_GB2312"/>
          <w:sz w:val="32"/>
          <w:szCs w:val="32"/>
        </w:rPr>
        <w:t>数字赋能思政课教学平台建设与应用研究</w:t>
      </w:r>
      <w:r>
        <w:rPr>
          <w:rFonts w:hint="eastAsia" w:ascii="仿宋" w:hAnsi="仿宋" w:eastAsia="仿宋_GB2312"/>
          <w:sz w:val="32"/>
          <w:szCs w:val="32"/>
          <w:lang w:eastAsia="zh-CN"/>
        </w:rPr>
        <w:t>；</w:t>
      </w:r>
      <w:r>
        <w:rPr>
          <w:rFonts w:hint="eastAsia" w:ascii="仿宋" w:hAnsi="仿宋" w:eastAsia="仿宋_GB2312"/>
          <w:sz w:val="32"/>
          <w:szCs w:val="32"/>
        </w:rPr>
        <w:t>思政课教师专业发展路径研究</w:t>
      </w:r>
      <w:r>
        <w:rPr>
          <w:rFonts w:hint="eastAsia" w:ascii="仿宋" w:hAnsi="仿宋" w:eastAsia="仿宋_GB2312"/>
          <w:sz w:val="32"/>
          <w:szCs w:val="32"/>
          <w:lang w:eastAsia="zh-CN"/>
        </w:rPr>
        <w:t>。</w:t>
      </w:r>
    </w:p>
    <w:p w14:paraId="2D4E202F">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三、人才培养模式机制改革研究</w:t>
      </w:r>
    </w:p>
    <w:p w14:paraId="73999AFC">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6</w:t>
      </w:r>
      <w:r>
        <w:rPr>
          <w:rFonts w:hint="eastAsia" w:ascii="楷体_GB2312" w:hAnsi="仿宋" w:eastAsia="楷体_GB2312"/>
          <w:b/>
          <w:sz w:val="32"/>
          <w:szCs w:val="32"/>
        </w:rPr>
        <w:t>.人才培养模式改革与创新研究</w:t>
      </w:r>
    </w:p>
    <w:p w14:paraId="7EF1A26C">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科技发展、国家战略需求导向的人才培养模式改革；科研与教学融汇协同育人模式创新与探索；产学研用协同育人模式研究与实践；各类拔尖创新型、卓越人才培养模式改革与创新研究；高校拔尖创业人才培养体系构建与实践；基础学科拔尖创新人才培养创新与实践；高校实施中学生英才计划方面的研究与实践；国际视野及国际化人才培养模式的研究与实践；“3+2”本科与高职联合培养模式研究；高校素质教育教学内容与体系建设研究；基于学生自主学习能力培养和个性化教学的人才培养模式研究与实践等。</w:t>
      </w:r>
    </w:p>
    <w:p w14:paraId="7E5329AB">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7</w:t>
      </w:r>
      <w:r>
        <w:rPr>
          <w:rFonts w:hint="eastAsia" w:ascii="楷体_GB2312" w:hAnsi="仿宋" w:eastAsia="楷体_GB2312"/>
          <w:b/>
          <w:sz w:val="32"/>
          <w:szCs w:val="32"/>
        </w:rPr>
        <w:t>.本科教育教学制度改革研究与实践</w:t>
      </w:r>
    </w:p>
    <w:p w14:paraId="4ACC69D2">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加强校际学分互认与转化实践等教育教学制度改革研究与实践；围绕辅修课程体系、学分标准和学士学位授予标准等开展辅修专业制度改革与实践，建立健全与主辅修制度相适应的联动机制的研究与实践；双学士学位人才培养试点、第二学士学位教学改革与管理制度研究；跨校联合人才培养、区域教学联合体、省部高校共建及对口支持协作等建设与研究；高校间优质教学资源的建设与共享机制研究；高等教育国际合作办学机制和培养模式的理论与实践研究等。</w:t>
      </w:r>
    </w:p>
    <w:p w14:paraId="306F7CF7">
      <w:pPr>
        <w:adjustRightInd w:val="0"/>
        <w:snapToGrid w:val="0"/>
        <w:spacing w:line="560" w:lineRule="exact"/>
        <w:ind w:firstLine="643" w:firstLineChars="200"/>
        <w:rPr>
          <w:rFonts w:hint="eastAsia" w:ascii="楷体_GB2312" w:hAnsi="仿宋" w:eastAsia="楷体_GB2312"/>
          <w:b/>
          <w:sz w:val="32"/>
          <w:szCs w:val="32"/>
          <w:lang w:val="en-US" w:eastAsia="zh-CN"/>
        </w:rPr>
      </w:pPr>
      <w:r>
        <w:rPr>
          <w:rFonts w:hint="eastAsia" w:ascii="楷体_GB2312" w:hAnsi="仿宋" w:eastAsia="楷体_GB2312"/>
          <w:b/>
          <w:sz w:val="32"/>
          <w:szCs w:val="32"/>
          <w:lang w:val="en-US" w:eastAsia="zh-CN"/>
        </w:rPr>
        <w:t>8.教学、科研、育人协同机制探索</w:t>
      </w:r>
    </w:p>
    <w:p w14:paraId="7ED91446">
      <w:pPr>
        <w:keepNext w:val="0"/>
        <w:keepLines w:val="0"/>
        <w:widowControl/>
        <w:suppressLineNumbers w:val="0"/>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560" w:lineRule="exact"/>
        <w:ind w:left="0" w:right="0" w:firstLine="640" w:firstLineChars="200"/>
        <w:jc w:val="left"/>
        <w:rPr>
          <w:rFonts w:hint="eastAsia" w:ascii="仿宋" w:hAnsi="仿宋" w:eastAsia="仿宋_GB2312"/>
          <w:color w:val="auto"/>
          <w:sz w:val="32"/>
          <w:szCs w:val="32"/>
        </w:rPr>
      </w:pPr>
      <w:r>
        <w:rPr>
          <w:rFonts w:hint="eastAsia" w:ascii="仿宋" w:hAnsi="仿宋" w:eastAsia="仿宋_GB2312" w:cstheme="minorBidi"/>
          <w:color w:val="auto"/>
          <w:kern w:val="2"/>
          <w:sz w:val="32"/>
          <w:szCs w:val="32"/>
          <w:lang w:val="en-US" w:eastAsia="zh-CN" w:bidi="ar"/>
        </w:rPr>
        <w:t>围绕教赛融合、科研反哺教学</w:t>
      </w:r>
      <w:r>
        <w:rPr>
          <w:rFonts w:hint="eastAsia" w:ascii="仿宋" w:hAnsi="仿宋" w:eastAsia="仿宋_GB2312" w:cstheme="minorBidi"/>
          <w:kern w:val="2"/>
          <w:sz w:val="32"/>
          <w:szCs w:val="32"/>
          <w:lang w:val="en-US" w:eastAsia="zh-CN" w:bidi="ar"/>
        </w:rPr>
        <w:t>、</w:t>
      </w:r>
      <w:r>
        <w:rPr>
          <w:rFonts w:hint="eastAsia" w:ascii="仿宋" w:hAnsi="仿宋" w:eastAsia="仿宋_GB2312" w:cstheme="minorBidi"/>
          <w:color w:val="auto"/>
          <w:kern w:val="2"/>
          <w:sz w:val="32"/>
          <w:szCs w:val="32"/>
          <w:lang w:val="en-US" w:eastAsia="zh-CN" w:bidi="ar"/>
        </w:rPr>
        <w:t>科教融汇育人模式、产学研用协同育人等方向开展</w:t>
      </w:r>
      <w:r>
        <w:rPr>
          <w:rFonts w:hint="eastAsia" w:ascii="仿宋" w:hAnsi="仿宋" w:eastAsia="仿宋_GB2312" w:cstheme="minorBidi"/>
          <w:kern w:val="2"/>
          <w:sz w:val="32"/>
          <w:szCs w:val="32"/>
          <w:lang w:val="en-US" w:eastAsia="zh-CN" w:bidi="ar"/>
        </w:rPr>
        <w:t>教-赛-研深度融合育人路径与机制</w:t>
      </w:r>
      <w:r>
        <w:rPr>
          <w:rFonts w:hint="eastAsia" w:ascii="仿宋" w:hAnsi="仿宋" w:eastAsia="仿宋_GB2312" w:cstheme="minorBidi"/>
          <w:color w:val="auto"/>
          <w:kern w:val="2"/>
          <w:sz w:val="32"/>
          <w:szCs w:val="32"/>
          <w:lang w:val="en-US" w:eastAsia="zh-CN" w:bidi="ar"/>
        </w:rPr>
        <w:t>研究</w:t>
      </w:r>
      <w:r>
        <w:rPr>
          <w:rFonts w:hint="eastAsia" w:ascii="仿宋" w:hAnsi="仿宋" w:eastAsia="仿宋_GB2312" w:cstheme="minorBidi"/>
          <w:kern w:val="2"/>
          <w:sz w:val="32"/>
          <w:szCs w:val="32"/>
          <w:lang w:val="en-US" w:eastAsia="zh-CN" w:bidi="ar"/>
        </w:rPr>
        <w:t>；</w:t>
      </w:r>
      <w:r>
        <w:rPr>
          <w:rFonts w:hint="eastAsia" w:ascii="仿宋" w:hAnsi="仿宋" w:eastAsia="仿宋_GB2312" w:cstheme="minorBidi"/>
          <w:color w:val="auto"/>
          <w:kern w:val="2"/>
          <w:sz w:val="32"/>
          <w:szCs w:val="32"/>
          <w:lang w:val="en-US" w:eastAsia="zh-CN" w:bidi="ar"/>
        </w:rPr>
        <w:t>聚焦将科研资源、创新成果转化为教学内容与实践项目</w:t>
      </w:r>
      <w:r>
        <w:rPr>
          <w:rFonts w:hint="eastAsia" w:ascii="仿宋" w:hAnsi="仿宋" w:eastAsia="仿宋_GB2312" w:cstheme="minorBidi"/>
          <w:kern w:val="2"/>
          <w:sz w:val="32"/>
          <w:szCs w:val="32"/>
          <w:lang w:val="en-US" w:eastAsia="zh-CN" w:bidi="ar"/>
        </w:rPr>
        <w:t>的实践与探索；推进</w:t>
      </w:r>
      <w:r>
        <w:rPr>
          <w:rFonts w:hint="eastAsia" w:ascii="仿宋" w:hAnsi="仿宋" w:eastAsia="仿宋_GB2312" w:cstheme="minorBidi"/>
          <w:color w:val="auto"/>
          <w:kern w:val="2"/>
          <w:sz w:val="32"/>
          <w:szCs w:val="32"/>
          <w:lang w:val="en-US" w:eastAsia="zh-CN" w:bidi="ar"/>
        </w:rPr>
        <w:t>协同育人制度体系、评价机制</w:t>
      </w:r>
      <w:r>
        <w:rPr>
          <w:rFonts w:hint="eastAsia" w:ascii="仿宋" w:hAnsi="仿宋" w:eastAsia="仿宋_GB2312" w:cstheme="minorBidi"/>
          <w:kern w:val="2"/>
          <w:sz w:val="32"/>
          <w:szCs w:val="32"/>
          <w:lang w:val="en-US" w:eastAsia="zh-CN" w:bidi="ar"/>
        </w:rPr>
        <w:t>改革与创新；建立</w:t>
      </w:r>
      <w:r>
        <w:rPr>
          <w:rFonts w:hint="eastAsia" w:ascii="仿宋" w:hAnsi="仿宋" w:eastAsia="仿宋_GB2312" w:cstheme="minorBidi"/>
          <w:color w:val="auto"/>
          <w:kern w:val="2"/>
          <w:sz w:val="32"/>
          <w:szCs w:val="32"/>
          <w:lang w:val="en-US" w:eastAsia="zh-CN" w:bidi="ar"/>
        </w:rPr>
        <w:t>教学提质、科研赋能、育人增效的良性</w:t>
      </w:r>
      <w:r>
        <w:rPr>
          <w:rFonts w:hint="eastAsia" w:ascii="仿宋" w:hAnsi="仿宋" w:eastAsia="仿宋_GB2312" w:cstheme="minorBidi"/>
          <w:kern w:val="2"/>
          <w:sz w:val="32"/>
          <w:szCs w:val="32"/>
          <w:lang w:val="en-US" w:eastAsia="zh-CN" w:bidi="ar"/>
        </w:rPr>
        <w:t>协同</w:t>
      </w:r>
      <w:r>
        <w:rPr>
          <w:rFonts w:hint="eastAsia" w:ascii="仿宋" w:hAnsi="仿宋" w:eastAsia="仿宋_GB2312" w:cstheme="minorBidi"/>
          <w:color w:val="auto"/>
          <w:kern w:val="2"/>
          <w:sz w:val="32"/>
          <w:szCs w:val="32"/>
          <w:lang w:val="en-US" w:eastAsia="zh-CN" w:bidi="ar"/>
        </w:rPr>
        <w:t>机制。</w:t>
      </w:r>
    </w:p>
    <w:p w14:paraId="17A71C05">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四、“四新”建设改革与实践研究</w:t>
      </w:r>
    </w:p>
    <w:p w14:paraId="0250A617">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9</w:t>
      </w:r>
      <w:r>
        <w:rPr>
          <w:rFonts w:hint="eastAsia" w:ascii="楷体_GB2312" w:hAnsi="仿宋" w:eastAsia="楷体_GB2312"/>
          <w:b/>
          <w:sz w:val="32"/>
          <w:szCs w:val="32"/>
        </w:rPr>
        <w:t>.新工科研究与改革实践</w:t>
      </w:r>
    </w:p>
    <w:p w14:paraId="7B5D8FB2">
      <w:pPr>
        <w:pStyle w:val="5"/>
        <w:widowControl/>
        <w:shd w:val="clear" w:color="auto" w:fill="FFFFFF"/>
        <w:spacing w:beforeAutospacing="0" w:afterAutospacing="0" w:line="560" w:lineRule="exact"/>
        <w:ind w:firstLine="640" w:firstLineChars="200"/>
        <w:rPr>
          <w:rFonts w:hint="eastAsia" w:ascii="楷体_GB2312" w:hAnsi="仿宋" w:eastAsia="楷体_GB2312"/>
          <w:b/>
          <w:sz w:val="32"/>
          <w:szCs w:val="32"/>
        </w:rPr>
      </w:pPr>
      <w:r>
        <w:rPr>
          <w:rFonts w:hint="eastAsia" w:ascii="仿宋" w:hAnsi="仿宋" w:eastAsia="仿宋_GB2312" w:cstheme="minorBidi"/>
          <w:kern w:val="2"/>
          <w:sz w:val="32"/>
          <w:szCs w:val="32"/>
        </w:rPr>
        <w:t>工程教育的新理念：结合工程教育发展的历史与现实、国内外工程教育改革的经验和教训，分析研究新工科的内涵、特征、规律和发展趋势等，提出工程教育改革创新的理念和思路；学科专业的新结构：面向新经济发展需要、面向未来、面向世界，开展新兴工科专业的研究与探索，对传统工科专业进行更新升级等；人才培养的新模式：在总结卓越工程师教育培养计划、CDIO等工程教育人才培养模式改革经验的基础上，开展深化产教融合、校企合作的体制机制和人才培养模式改革研究和实践；教育教学的新质量：在完善中国特色、国际实质等效的工程教育专业认证制度的基础上，研究制订新兴工科专业教学质量标准，开展多维度的教育教学质量评价等。分类发展的新体系：分析研究高校分类发展、工程人才分类培养的体系结构，提出推进工程教育办出特色和水平的宏观政策、组织体系和运行机制等。</w:t>
      </w:r>
    </w:p>
    <w:p w14:paraId="7D894606">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10</w:t>
      </w:r>
      <w:r>
        <w:rPr>
          <w:rFonts w:hint="eastAsia" w:ascii="楷体_GB2312" w:hAnsi="仿宋" w:eastAsia="楷体_GB2312"/>
          <w:b/>
          <w:sz w:val="32"/>
          <w:szCs w:val="32"/>
        </w:rPr>
        <w:t>.新医科研究与改革实践</w:t>
      </w:r>
    </w:p>
    <w:p w14:paraId="3B093583">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深化医教协同体制机制研究；卓越医师人才培养研究与实践；医教协同的临床医学人才培养改革与实践；新医科人才培养跨学科培养平台、跨学科课程模块建设研究与实践；全科医师培养研究与实践；中医师承关系培养改革与实践；医学人才专业结构、人才类型结构与区域经济结构相衔接的研究；医学教育课程体系研究；医药卫生体制改革与医学教育协调发展的研究；医学教育实践教学体系及实践教学内容、方法和手段改革的研究；新医科教材体系建设研究；医学生职业能力与职业素养养成研究；附属医院、临床教学基地建设方面研究；相关医学教学改革建设推进机制研究。</w:t>
      </w:r>
    </w:p>
    <w:p w14:paraId="2E21E621">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11</w:t>
      </w:r>
      <w:r>
        <w:rPr>
          <w:rFonts w:hint="eastAsia" w:ascii="楷体_GB2312" w:hAnsi="仿宋" w:eastAsia="楷体_GB2312"/>
          <w:b/>
          <w:sz w:val="32"/>
          <w:szCs w:val="32"/>
        </w:rPr>
        <w:t>.新农科研究与改革实践</w:t>
      </w:r>
    </w:p>
    <w:p w14:paraId="51088F12">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新农科建设改革与发展研究；新农科建设政策与支撑体系研究；基于四个面向的知农爱农新型人才需求研究；新型农林人才核心能力体系研究；新农科建设绩效评价研究；新兴涉农专业建设探索与实践；传统涉农专业改造提升改革与实践；面向新农科的农林类专业三级认证体系构建；农林类一流专业建设标准研制；农林人才思政教育与“大国三农”教育实践；新农科多样化人才培养模式创新实践；多学科交叉融合的农林人才培养模式机制创新实践；新农科课程体系与教材建设；面向基层的新型农林人才培养实践；面向新农科的实践教育体系构建；农林创新创业教育与实践；农林类一流课程建设标准研究；一校一所科教协同育人探索与实践；服务乡村振兴战略模式研究与实践；高等农林教育国际化研究与实践。</w:t>
      </w:r>
    </w:p>
    <w:p w14:paraId="7565294D">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2</w:t>
      </w:r>
      <w:r>
        <w:rPr>
          <w:rFonts w:hint="eastAsia" w:ascii="楷体_GB2312" w:hAnsi="仿宋" w:eastAsia="楷体_GB2312"/>
          <w:b/>
          <w:sz w:val="32"/>
          <w:szCs w:val="32"/>
        </w:rPr>
        <w:t>.新文科研究与改革实践</w:t>
      </w:r>
    </w:p>
    <w:p w14:paraId="4119F4CE">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新文科建设发展理念与改革发展研究；新文科建设政策与支撑体系研究；新时代文科专业结构优化研究与实践；原有文科专业改造提升改革与实践；新兴文科专业建设探索与实践；新文科课程体系和教材体系建设实践；文科复合型人才培养创新与实践；高素质涉外人才培养创新与实践；新文科创新创业教育与实践；人文社科等领域实务型人才协同培养机制研究；文科专业类教学要点研究与实践；新时代大学英语教学改革研究实践；新闻、法学领域专业教师互聘互派与人才培养研究；实战型文科人才培养研究；新文科教师专业发展探索与实践；面向新文科的文科专业三级认证体系构建研究。</w:t>
      </w:r>
    </w:p>
    <w:p w14:paraId="435E6C5B">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五、教学“新基建”综合改革研究与实践</w:t>
      </w:r>
    </w:p>
    <w:p w14:paraId="538B1D75">
      <w:pPr>
        <w:adjustRightInd w:val="0"/>
        <w:snapToGrid w:val="0"/>
        <w:spacing w:line="560" w:lineRule="exact"/>
        <w:ind w:firstLine="643" w:firstLineChars="200"/>
        <w:rPr>
          <w:rFonts w:hint="eastAsia" w:ascii="楷体_GB2312" w:hAnsi="仿宋" w:eastAsia="楷体_GB2312"/>
          <w:b/>
          <w:sz w:val="32"/>
          <w:szCs w:val="32"/>
        </w:rPr>
      </w:pPr>
      <w:r>
        <w:rPr>
          <w:rFonts w:ascii="楷体_GB2312" w:hAnsi="仿宋" w:eastAsia="楷体_GB2312"/>
          <w:b/>
          <w:sz w:val="32"/>
          <w:szCs w:val="32"/>
        </w:rPr>
        <w:t>1</w:t>
      </w:r>
      <w:r>
        <w:rPr>
          <w:rFonts w:hint="eastAsia" w:ascii="楷体_GB2312" w:hAnsi="仿宋" w:eastAsia="楷体_GB2312"/>
          <w:b/>
          <w:sz w:val="32"/>
          <w:szCs w:val="32"/>
          <w:lang w:val="en-US" w:eastAsia="zh-CN"/>
        </w:rPr>
        <w:t>3</w:t>
      </w:r>
      <w:r>
        <w:rPr>
          <w:rFonts w:ascii="楷体_GB2312" w:hAnsi="仿宋" w:eastAsia="楷体_GB2312"/>
          <w:b/>
          <w:sz w:val="32"/>
          <w:szCs w:val="32"/>
        </w:rPr>
        <w:t>.</w:t>
      </w:r>
      <w:r>
        <w:rPr>
          <w:rFonts w:hint="eastAsia" w:ascii="楷体_GB2312" w:hAnsi="仿宋" w:eastAsia="楷体_GB2312"/>
          <w:b/>
          <w:sz w:val="32"/>
          <w:szCs w:val="32"/>
        </w:rPr>
        <w:t>专业建设改革研究与实践</w:t>
      </w:r>
    </w:p>
    <w:p w14:paraId="0711FF27">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学科专业设置与区域发展匹配机制的研究与实践；面向新兴战略产业的学科专业与人才培养快速响应机制探索与实践；一流本科专业建设研究；“微专业”建设的探索与实践；国内外大学本科专业建设特色比较研究；高等学校专业群建设研究、品牌特色专业建设及紧缺专业和新办专业建设研究；适应湖北区域经济社会发展要求的优势、对接区域产业链建立产教融合特色优势专业（群）建设与改革研究；高校专业设置、调整、优化、管理、评估和评价机制的研究与实践；人才培养与产业需求对接的监测预警机制研究；符合湖北、区域、行业发展需要的专业结构优化研究与实践；面向湖北工业、产业集群发展需要的专业建设研究与实践等。</w:t>
      </w:r>
    </w:p>
    <w:p w14:paraId="52E5A283">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4</w:t>
      </w:r>
      <w:r>
        <w:rPr>
          <w:rFonts w:hint="eastAsia" w:ascii="楷体_GB2312" w:hAnsi="仿宋" w:eastAsia="楷体_GB2312"/>
          <w:b/>
          <w:sz w:val="32"/>
          <w:szCs w:val="32"/>
        </w:rPr>
        <w:t>.课程、教材建设研究</w:t>
      </w:r>
    </w:p>
    <w:p w14:paraId="2D604CB6">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创新课程知识体系建设研究；素质教育课程体系及相关教材建设与研究；一流本科课程建设与应用的理论研究与实践;基于能力图谱、知识图谱的课程、教材、实验一体化建设与探索研究；区域高校课程联盟运作体系研究与实践;高校双语课程建设及双语教学改革的研究；国内外优质课程教学资源选用机制、办法研究；高校课程的准入、建设、评价与淘汰机制研究；产学合作新课程的开发研究；国家级规划教材建设研究；经典传承教材、示范性新形态教材，多介质、数字化、智能化、快速迭代的新形态教材建设；数字教材建设；国家急需和关键领域核心教材建设；101计划核心教材建设等。</w:t>
      </w:r>
    </w:p>
    <w:p w14:paraId="2D153126">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5</w:t>
      </w:r>
      <w:r>
        <w:rPr>
          <w:rFonts w:hint="eastAsia" w:ascii="楷体_GB2312" w:hAnsi="仿宋" w:eastAsia="楷体_GB2312"/>
          <w:b/>
          <w:sz w:val="32"/>
          <w:szCs w:val="32"/>
        </w:rPr>
        <w:t>.教师队伍建设与教师教学能力提升</w:t>
      </w:r>
    </w:p>
    <w:p w14:paraId="70D84753">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教学团队建设与优秀教学团队形成机制研究；基层教学组织建设研究；高校教师教学能力、实践能力提升方式与途径研究；高校教师发展中心建设与中青年教师培训研究与实践；完善教授为本科生授课的机制研究与实践；高校教风与学风建设；科学合理的高校教师教学能力评价办法探索与实践；高校教师教学激励机制研究；教学名师培养、名师工作室建设；“双师型”教师队伍建设与管理研究等。</w:t>
      </w:r>
    </w:p>
    <w:p w14:paraId="14A563A5">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6</w:t>
      </w:r>
      <w:r>
        <w:rPr>
          <w:rFonts w:hint="eastAsia" w:ascii="楷体_GB2312" w:hAnsi="仿宋" w:eastAsia="楷体_GB2312"/>
          <w:b/>
          <w:sz w:val="32"/>
          <w:szCs w:val="32"/>
        </w:rPr>
        <w:t>.教学内容更新与教学方法改革</w:t>
      </w:r>
    </w:p>
    <w:p w14:paraId="21699A22">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基于创新人才培养的教学内容更新研究；高校课堂教学模式创新研究；基于能力培养的高校课堂教学手段与方法改革研究；互联网背景下的通识教育研究；高等学校教学资源库和试题库建设与应用；与职业（行业）标准相衔接的课程与教学内容体系探索；高校课程体系整体优化与教学内容改革的研究与实践；高校案例式、启发式、探究式、讨论式等教学方法的探索与实践；公共基础课教学改革研究；基于移动互联网络环境的学习模式研究等。</w:t>
      </w:r>
    </w:p>
    <w:p w14:paraId="405F818C">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7</w:t>
      </w:r>
      <w:r>
        <w:rPr>
          <w:rFonts w:hint="eastAsia" w:ascii="楷体_GB2312" w:hAnsi="仿宋" w:eastAsia="楷体_GB2312"/>
          <w:b/>
          <w:sz w:val="32"/>
          <w:szCs w:val="32"/>
        </w:rPr>
        <w:t>.实践教学改革与大学生创新能力培养</w:t>
      </w:r>
    </w:p>
    <w:p w14:paraId="67C34089">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校实践教学模式及运行机制创新研究；实践课教师队伍建设；实践教育基地建设模式的研究与实践；实验教学示范中心、虚拟仿真实验中心、工程训练中心、实习实训基地的建设、管理与运行机制研究；大学生实践能力培养、毕业实习、毕业设计（论文）等各实践教学环节的建设与管理研究；大学生创新创业教育与就业、创业能力研究；创新创业教育课程体系建设、创新创业实践平台建设、创新创业教育实践、创新创业教育管理改革等；大学生科技创新竞赛活动组织管理模式研究；大学生创新活动基地建设和运行管理机制研究；第二课堂与大学生创新能力培养研究；以科技为支撑的高校师生创新创业研究与实践；服务国家战略的国际化创新人才培养与实践等。</w:t>
      </w:r>
    </w:p>
    <w:p w14:paraId="4BA7454C">
      <w:pPr>
        <w:adjustRightInd w:val="0"/>
        <w:snapToGrid w:val="0"/>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六、高等教育数字化战略研究</w:t>
      </w:r>
    </w:p>
    <w:p w14:paraId="228DF5CF">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8</w:t>
      </w:r>
      <w:r>
        <w:rPr>
          <w:rFonts w:hint="eastAsia" w:ascii="楷体_GB2312" w:hAnsi="仿宋" w:eastAsia="楷体_GB2312"/>
          <w:b/>
          <w:sz w:val="32"/>
          <w:szCs w:val="32"/>
        </w:rPr>
        <w:t>.智慧校园建设</w:t>
      </w:r>
    </w:p>
    <w:p w14:paraId="5AB0A745">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智慧校园建设研究；智能教育创新实验室等建设与研究；高等教育大数据平台建设研究；可视化高等教育智慧“驾驶舱”研究；“数字孪生”校园建设研究；</w:t>
      </w:r>
      <w:bookmarkStart w:id="0" w:name="OLE_LINK2"/>
      <w:bookmarkStart w:id="1" w:name="OLE_LINK1"/>
      <w:r>
        <w:rPr>
          <w:rFonts w:hint="eastAsia" w:ascii="仿宋" w:hAnsi="仿宋" w:eastAsia="仿宋_GB2312"/>
          <w:sz w:val="32"/>
          <w:szCs w:val="32"/>
        </w:rPr>
        <w:t>校园网络安全、数据安全、大模型安全</w:t>
      </w:r>
      <w:bookmarkEnd w:id="0"/>
      <w:bookmarkEnd w:id="1"/>
      <w:r>
        <w:rPr>
          <w:rFonts w:hint="eastAsia" w:ascii="仿宋" w:hAnsi="仿宋" w:eastAsia="仿宋_GB2312"/>
          <w:sz w:val="32"/>
          <w:szCs w:val="32"/>
        </w:rPr>
        <w:t>研究等。</w:t>
      </w:r>
    </w:p>
    <w:p w14:paraId="0198D9A0">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w:t>
      </w:r>
      <w:r>
        <w:rPr>
          <w:rFonts w:hint="eastAsia" w:ascii="楷体_GB2312" w:hAnsi="仿宋" w:eastAsia="楷体_GB2312"/>
          <w:b/>
          <w:sz w:val="32"/>
          <w:szCs w:val="32"/>
          <w:lang w:val="en-US" w:eastAsia="zh-CN"/>
        </w:rPr>
        <w:t>9</w:t>
      </w:r>
      <w:r>
        <w:rPr>
          <w:rFonts w:hint="eastAsia" w:ascii="楷体_GB2312" w:hAnsi="仿宋" w:eastAsia="楷体_GB2312"/>
          <w:b/>
          <w:sz w:val="32"/>
          <w:szCs w:val="32"/>
        </w:rPr>
        <w:t>.高等教育教学数字化转型</w:t>
      </w:r>
    </w:p>
    <w:p w14:paraId="19EA6C2D">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等教育教学数字化体系研究；国家和省级高等教育智慧教育平台应用研究；信息技术与教育教学的深度融合如微课、在线开放课程建设、翻转课堂等方面研究；虚拟仿真教学实验、课程思政数字化资源库、教学案例库、人才培养教学资源库等教学资源平台建设与管理；虚拟教研室信息平台建设；学习过程大数据分析、打造智慧学习社区等研究；教学管理数字化、信息化建设研究与实践；现代信息网络技术在教学中的运用、现代远程高等教育教学体系的构建及管理研究。</w:t>
      </w:r>
    </w:p>
    <w:p w14:paraId="7A6C626B">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20</w:t>
      </w:r>
      <w:r>
        <w:rPr>
          <w:rFonts w:hint="eastAsia" w:ascii="楷体_GB2312" w:hAnsi="仿宋" w:eastAsia="楷体_GB2312"/>
          <w:b/>
          <w:sz w:val="32"/>
          <w:szCs w:val="32"/>
        </w:rPr>
        <w:t>.人工智能推进教育教学变革</w:t>
      </w:r>
    </w:p>
    <w:p w14:paraId="34841865">
      <w:pPr>
        <w:autoSpaceDE w:val="0"/>
        <w:autoSpaceDN w:val="0"/>
        <w:adjustRightInd w:val="0"/>
        <w:snapToGrid w:val="0"/>
        <w:spacing w:line="560" w:lineRule="exact"/>
        <w:ind w:firstLine="640" w:firstLineChars="200"/>
        <w:jc w:val="left"/>
        <w:rPr>
          <w:rFonts w:hint="eastAsia" w:ascii="仿宋" w:hAnsi="仿宋" w:eastAsia="仿宋_GB2312"/>
          <w:sz w:val="32"/>
          <w:szCs w:val="32"/>
        </w:rPr>
      </w:pPr>
      <w:r>
        <w:rPr>
          <w:rFonts w:hint="eastAsia" w:ascii="仿宋" w:hAnsi="仿宋" w:eastAsia="仿宋_GB2312"/>
          <w:sz w:val="32"/>
          <w:szCs w:val="32"/>
        </w:rPr>
        <w:t>人工智能时代高等教育政策与体制机制改革研究；“人工智能+”教育教学改革研究与实践；</w:t>
      </w:r>
      <w:r>
        <w:rPr>
          <w:rFonts w:hint="eastAsia" w:ascii="仿宋_GB2312" w:hAnsi="Times New Roman" w:eastAsia="仿宋_GB2312" w:cs="仿宋_GB2312"/>
          <w:kern w:val="0"/>
          <w:sz w:val="32"/>
          <w:szCs w:val="32"/>
        </w:rPr>
        <w:t>人工智能赋能本科教育教学创新提质探索与实践；师生人工智能素养提升的改革与实践；人工智能通识教育的理念创新与课程体系构建；</w:t>
      </w:r>
      <w:r>
        <w:rPr>
          <w:rFonts w:hint="eastAsia" w:ascii="仿宋" w:hAnsi="仿宋" w:eastAsia="仿宋_GB2312"/>
          <w:sz w:val="32"/>
          <w:szCs w:val="32"/>
        </w:rPr>
        <w:t>四个“未来”（未来学习中心、未来课堂、未来学校、未来教师）建设研究；人工智能赋能专业评价、学生评价的改革与实践；人工智能伦理与风险治理研究等。</w:t>
      </w:r>
    </w:p>
    <w:p w14:paraId="5EC707F6">
      <w:pPr>
        <w:adjustRightInd w:val="0"/>
        <w:snapToGrid w:val="0"/>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七、高等教育质量保证体系研究</w:t>
      </w:r>
    </w:p>
    <w:p w14:paraId="1FF4EA4E">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21</w:t>
      </w:r>
      <w:r>
        <w:rPr>
          <w:rFonts w:hint="eastAsia" w:ascii="楷体_GB2312" w:hAnsi="仿宋" w:eastAsia="楷体_GB2312"/>
          <w:b/>
          <w:sz w:val="32"/>
          <w:szCs w:val="32"/>
        </w:rPr>
        <w:t>.以质量提升为核心的管理体制机制建设</w:t>
      </w:r>
    </w:p>
    <w:p w14:paraId="3AF74856">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体现“以本为本”“四个回归”的管理体制机制研究；建立以提升教育质量为核心、以激励教师投入人才培养为重点的管理制度体系研究；推进学分制、弹性学制，探索书院制等改革研究；本科专业类教学质量国家标准实施研究与实践；高校严格课堂教学管理与课堂改革方面的研究与实践；专业人才培养评价标准体系构建研究与实践；本科专业监测评估的改革与实践；高校教学质量管理体制、质量监控体系和保障体系的研究；高等学校教学质量标准体系建设研究等。</w:t>
      </w:r>
    </w:p>
    <w:p w14:paraId="13F4A7C7">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2</w:t>
      </w:r>
      <w:r>
        <w:rPr>
          <w:rFonts w:hint="eastAsia" w:ascii="楷体_GB2312" w:hAnsi="仿宋" w:eastAsia="楷体_GB2312"/>
          <w:b/>
          <w:sz w:val="32"/>
          <w:szCs w:val="32"/>
          <w:lang w:val="en-US" w:eastAsia="zh-CN"/>
        </w:rPr>
        <w:t>2</w:t>
      </w:r>
      <w:r>
        <w:rPr>
          <w:rFonts w:hint="eastAsia" w:ascii="楷体_GB2312" w:hAnsi="仿宋" w:eastAsia="楷体_GB2312"/>
          <w:b/>
          <w:sz w:val="32"/>
          <w:szCs w:val="32"/>
        </w:rPr>
        <w:t>.高校内部教育质量管理及保障体系建设、监控机制和体系研究</w:t>
      </w:r>
    </w:p>
    <w:p w14:paraId="1560D313">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加强学风建设，提升学业挑战度，强化人才培养方案、教学过程和教学考核等质量要求，完善学业考评制度等方面的研究；面向培养目标达成的定量和定性评价方法，建立校院两级质量保障机制研究；完善教学环节质量标准、教学反馈和评估机制，健全内部评价与外部评价相结合的评价体系，构建教师教学、学生学业、质量监测“三位一体”的质量保障体系研究；教学状态和教学质量监测的常态化、信息化研究与实践；高校本科教学工作合格评估和本科教育教学审核评估研究；本科人才培养质量评价体系及评价方法研究；高校专业认证、课程评估研究；高校教学督导工作研究等。</w:t>
      </w:r>
    </w:p>
    <w:p w14:paraId="6AF36FBB">
      <w:pPr>
        <w:numPr>
          <w:ilvl w:val="0"/>
          <w:numId w:val="0"/>
        </w:numPr>
        <w:adjustRightInd w:val="0"/>
        <w:snapToGrid w:val="0"/>
        <w:spacing w:line="560" w:lineRule="exact"/>
        <w:ind w:leftChars="200" w:firstLine="320" w:firstLineChars="100"/>
        <w:rPr>
          <w:rFonts w:hint="eastAsia" w:ascii="黑体" w:hAnsi="黑体" w:eastAsia="黑体" w:cs="黑体"/>
          <w:bCs/>
          <w:sz w:val="32"/>
          <w:szCs w:val="32"/>
          <w:lang w:eastAsia="zh-CN"/>
        </w:rPr>
      </w:pPr>
      <w:r>
        <w:rPr>
          <w:rFonts w:hint="eastAsia" w:ascii="黑体" w:hAnsi="黑体" w:eastAsia="黑体" w:cs="黑体"/>
          <w:bCs/>
          <w:sz w:val="32"/>
          <w:szCs w:val="32"/>
          <w:lang w:val="en-US" w:eastAsia="zh-CN"/>
        </w:rPr>
        <w:t>八</w:t>
      </w:r>
      <w:r>
        <w:rPr>
          <w:rFonts w:hint="eastAsia" w:ascii="黑体" w:hAnsi="黑体" w:eastAsia="黑体" w:cs="黑体"/>
          <w:bCs/>
          <w:sz w:val="32"/>
          <w:szCs w:val="32"/>
          <w:lang w:eastAsia="zh-CN"/>
        </w:rPr>
        <w:t>、</w:t>
      </w:r>
      <w:r>
        <w:rPr>
          <w:rFonts w:hint="eastAsia" w:ascii="黑体" w:hAnsi="黑体" w:eastAsia="黑体" w:cs="黑体"/>
          <w:bCs/>
          <w:sz w:val="32"/>
          <w:szCs w:val="32"/>
        </w:rPr>
        <w:t>黄冈市教师教育</w:t>
      </w:r>
      <w:r>
        <w:rPr>
          <w:rFonts w:hint="eastAsia" w:ascii="黑体" w:hAnsi="黑体" w:eastAsia="黑体" w:cs="黑体"/>
          <w:bCs/>
          <w:sz w:val="32"/>
          <w:szCs w:val="32"/>
          <w:lang w:eastAsia="zh-CN"/>
        </w:rPr>
        <w:t>共同体</w:t>
      </w:r>
      <w:r>
        <w:rPr>
          <w:rFonts w:hint="eastAsia" w:ascii="黑体" w:hAnsi="黑体" w:eastAsia="黑体" w:cs="黑体"/>
          <w:bCs/>
          <w:sz w:val="32"/>
          <w:szCs w:val="32"/>
        </w:rPr>
        <w:t>建设</w:t>
      </w:r>
      <w:r>
        <w:rPr>
          <w:rFonts w:hint="eastAsia" w:ascii="黑体" w:hAnsi="黑体" w:eastAsia="黑体" w:cs="黑体"/>
          <w:bCs/>
          <w:sz w:val="32"/>
          <w:szCs w:val="32"/>
          <w:lang w:eastAsia="zh-CN"/>
        </w:rPr>
        <w:t>研究</w:t>
      </w:r>
    </w:p>
    <w:p w14:paraId="3A927E4D">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23.</w:t>
      </w:r>
      <w:r>
        <w:rPr>
          <w:rFonts w:hint="eastAsia" w:ascii="楷体_GB2312" w:hAnsi="仿宋" w:eastAsia="楷体_GB2312"/>
          <w:b/>
          <w:sz w:val="32"/>
          <w:szCs w:val="32"/>
        </w:rPr>
        <w:t>黄冈市教师教育</w:t>
      </w:r>
      <w:r>
        <w:rPr>
          <w:rFonts w:hint="eastAsia" w:ascii="楷体_GB2312" w:hAnsi="仿宋" w:eastAsia="楷体_GB2312"/>
          <w:b/>
          <w:sz w:val="32"/>
          <w:szCs w:val="32"/>
          <w:lang w:eastAsia="zh-CN"/>
        </w:rPr>
        <w:t>共同体</w:t>
      </w:r>
      <w:r>
        <w:rPr>
          <w:rFonts w:hint="eastAsia" w:ascii="楷体_GB2312" w:hAnsi="仿宋" w:eastAsia="楷体_GB2312"/>
          <w:b/>
          <w:sz w:val="32"/>
          <w:szCs w:val="32"/>
        </w:rPr>
        <w:t>建设专题</w:t>
      </w:r>
    </w:p>
    <w:p w14:paraId="3DB69ED9">
      <w:pPr>
        <w:numPr>
          <w:ilvl w:val="0"/>
          <w:numId w:val="0"/>
        </w:numPr>
        <w:adjustRightInd w:val="0"/>
        <w:snapToGrid w:val="0"/>
        <w:spacing w:line="560" w:lineRule="exact"/>
        <w:ind w:left="0" w:leftChars="0" w:firstLine="640" w:firstLineChars="200"/>
        <w:rPr>
          <w:rFonts w:hint="eastAsia" w:ascii="仿宋" w:hAnsi="仿宋" w:eastAsia="仿宋_GB2312"/>
          <w:sz w:val="32"/>
          <w:szCs w:val="32"/>
          <w:lang w:eastAsia="zh-CN"/>
        </w:rPr>
      </w:pPr>
      <w:r>
        <w:rPr>
          <w:rFonts w:hint="eastAsia" w:ascii="仿宋" w:hAnsi="仿宋" w:eastAsia="仿宋_GB2312"/>
          <w:sz w:val="32"/>
          <w:szCs w:val="32"/>
        </w:rPr>
        <w:t>教师教育校地发展共同体建设研究</w:t>
      </w:r>
      <w:r>
        <w:rPr>
          <w:rFonts w:hint="eastAsia" w:ascii="仿宋" w:hAnsi="仿宋" w:eastAsia="仿宋_GB2312"/>
          <w:sz w:val="32"/>
          <w:szCs w:val="32"/>
          <w:lang w:eastAsia="zh-CN"/>
        </w:rPr>
        <w:t>；</w:t>
      </w:r>
      <w:r>
        <w:rPr>
          <w:rFonts w:hint="eastAsia" w:ascii="仿宋" w:hAnsi="仿宋" w:eastAsia="仿宋_GB2312"/>
          <w:sz w:val="32"/>
          <w:szCs w:val="32"/>
        </w:rPr>
        <w:t>G-U-S三位一体的协同育人机制研究</w:t>
      </w:r>
      <w:r>
        <w:rPr>
          <w:rFonts w:hint="eastAsia" w:ascii="仿宋" w:hAnsi="仿宋" w:eastAsia="仿宋_GB2312"/>
          <w:sz w:val="32"/>
          <w:szCs w:val="32"/>
          <w:lang w:eastAsia="zh-CN"/>
        </w:rPr>
        <w:t>；</w:t>
      </w:r>
      <w:r>
        <w:rPr>
          <w:rFonts w:hint="eastAsia" w:ascii="仿宋" w:hAnsi="仿宋" w:eastAsia="仿宋_GB2312"/>
          <w:sz w:val="32"/>
          <w:szCs w:val="32"/>
        </w:rPr>
        <w:t>基础教育教师专业发展模式研究</w:t>
      </w:r>
      <w:r>
        <w:rPr>
          <w:rFonts w:hint="eastAsia" w:ascii="仿宋" w:hAnsi="仿宋" w:eastAsia="仿宋_GB2312"/>
          <w:sz w:val="32"/>
          <w:szCs w:val="32"/>
          <w:lang w:eastAsia="zh-CN"/>
        </w:rPr>
        <w:t>；</w:t>
      </w:r>
      <w:r>
        <w:rPr>
          <w:rFonts w:hint="eastAsia" w:ascii="仿宋" w:hAnsi="仿宋" w:eastAsia="仿宋_GB2312"/>
          <w:sz w:val="32"/>
          <w:szCs w:val="32"/>
        </w:rPr>
        <w:t>“优师计划”人才培养模式研究</w:t>
      </w:r>
      <w:r>
        <w:rPr>
          <w:rFonts w:hint="eastAsia" w:ascii="仿宋" w:hAnsi="仿宋" w:eastAsia="仿宋_GB2312"/>
          <w:sz w:val="32"/>
          <w:szCs w:val="32"/>
          <w:lang w:eastAsia="zh-CN"/>
        </w:rPr>
        <w:t>；</w:t>
      </w:r>
      <w:r>
        <w:rPr>
          <w:rFonts w:hint="eastAsia" w:ascii="仿宋" w:hAnsi="仿宋" w:eastAsia="仿宋_GB2312"/>
          <w:sz w:val="32"/>
          <w:szCs w:val="32"/>
        </w:rPr>
        <w:t>“书院制”人才培养模式研究</w:t>
      </w:r>
      <w:r>
        <w:rPr>
          <w:rFonts w:hint="eastAsia" w:ascii="仿宋" w:hAnsi="仿宋" w:eastAsia="仿宋_GB2312"/>
          <w:sz w:val="32"/>
          <w:szCs w:val="32"/>
          <w:lang w:eastAsia="zh-CN"/>
        </w:rPr>
        <w:t>；</w:t>
      </w:r>
      <w:r>
        <w:rPr>
          <w:rFonts w:hint="eastAsia" w:ascii="仿宋" w:hAnsi="仿宋" w:eastAsia="仿宋_GB2312"/>
          <w:sz w:val="32"/>
          <w:szCs w:val="32"/>
        </w:rPr>
        <w:t>乡村教师职业素养提升路径研究</w:t>
      </w:r>
      <w:r>
        <w:rPr>
          <w:rFonts w:hint="eastAsia" w:ascii="仿宋" w:hAnsi="仿宋" w:eastAsia="仿宋_GB2312"/>
          <w:sz w:val="32"/>
          <w:szCs w:val="32"/>
          <w:lang w:eastAsia="zh-CN"/>
        </w:rPr>
        <w:t>；</w:t>
      </w:r>
      <w:r>
        <w:rPr>
          <w:rFonts w:hint="eastAsia" w:ascii="仿宋" w:hAnsi="仿宋" w:eastAsia="仿宋_GB2312"/>
          <w:sz w:val="32"/>
          <w:szCs w:val="32"/>
        </w:rPr>
        <w:t>“名师工作坊”运行机制研究</w:t>
      </w:r>
      <w:r>
        <w:rPr>
          <w:rFonts w:hint="eastAsia" w:ascii="仿宋" w:hAnsi="仿宋" w:eastAsia="仿宋_GB2312"/>
          <w:sz w:val="32"/>
          <w:szCs w:val="32"/>
          <w:lang w:eastAsia="zh-CN"/>
        </w:rPr>
        <w:t>；</w:t>
      </w:r>
      <w:r>
        <w:rPr>
          <w:rFonts w:hint="eastAsia" w:ascii="仿宋" w:hAnsi="仿宋" w:eastAsia="仿宋_GB2312"/>
          <w:sz w:val="32"/>
          <w:szCs w:val="32"/>
        </w:rPr>
        <w:t>“双向互聘”协同育人机制研究</w:t>
      </w:r>
      <w:r>
        <w:rPr>
          <w:rFonts w:hint="eastAsia" w:ascii="仿宋" w:hAnsi="仿宋" w:eastAsia="仿宋_GB2312"/>
          <w:sz w:val="32"/>
          <w:szCs w:val="32"/>
          <w:lang w:eastAsia="zh-CN"/>
        </w:rPr>
        <w:t>；</w:t>
      </w:r>
      <w:r>
        <w:rPr>
          <w:rFonts w:hint="eastAsia" w:ascii="仿宋" w:hAnsi="仿宋" w:eastAsia="仿宋_GB2312"/>
          <w:sz w:val="32"/>
          <w:szCs w:val="32"/>
        </w:rPr>
        <w:t>黄冈区域特色文化育人模式研究</w:t>
      </w:r>
      <w:r>
        <w:rPr>
          <w:rFonts w:hint="eastAsia" w:ascii="仿宋" w:hAnsi="仿宋" w:eastAsia="仿宋_GB2312"/>
          <w:sz w:val="32"/>
          <w:szCs w:val="32"/>
          <w:lang w:eastAsia="zh-CN"/>
        </w:rPr>
        <w:t>；</w:t>
      </w:r>
      <w:r>
        <w:rPr>
          <w:rFonts w:hint="eastAsia" w:ascii="仿宋" w:hAnsi="仿宋" w:eastAsia="仿宋_GB2312"/>
          <w:sz w:val="32"/>
          <w:szCs w:val="32"/>
        </w:rPr>
        <w:t>校地协同合作教研模式研究</w:t>
      </w:r>
      <w:r>
        <w:rPr>
          <w:rFonts w:hint="eastAsia" w:ascii="仿宋" w:hAnsi="仿宋" w:eastAsia="仿宋_GB2312"/>
          <w:sz w:val="32"/>
          <w:szCs w:val="32"/>
          <w:lang w:eastAsia="zh-CN"/>
        </w:rPr>
        <w:t>；</w:t>
      </w:r>
      <w:r>
        <w:rPr>
          <w:rFonts w:hint="eastAsia" w:ascii="仿宋" w:hAnsi="仿宋" w:eastAsia="仿宋_GB2312"/>
          <w:sz w:val="32"/>
          <w:szCs w:val="32"/>
        </w:rPr>
        <w:t>“教育研究与实践基地”协同育人模式研究</w:t>
      </w:r>
      <w:r>
        <w:rPr>
          <w:rFonts w:hint="eastAsia" w:ascii="仿宋" w:hAnsi="仿宋" w:eastAsia="仿宋_GB2312"/>
          <w:sz w:val="32"/>
          <w:szCs w:val="32"/>
          <w:lang w:eastAsia="zh-CN"/>
        </w:rPr>
        <w:t>，</w:t>
      </w:r>
      <w:r>
        <w:rPr>
          <w:rFonts w:hint="eastAsia" w:ascii="仿宋" w:hAnsi="仿宋" w:eastAsia="仿宋_GB2312"/>
          <w:sz w:val="32"/>
          <w:szCs w:val="32"/>
        </w:rPr>
        <w:t>“教育研究与实践基地”绩效评价体系构建与实证研究</w:t>
      </w:r>
      <w:r>
        <w:rPr>
          <w:rFonts w:hint="eastAsia" w:ascii="仿宋" w:hAnsi="仿宋" w:eastAsia="仿宋_GB2312"/>
          <w:sz w:val="32"/>
          <w:szCs w:val="32"/>
          <w:lang w:eastAsia="zh-CN"/>
        </w:rPr>
        <w:t>；</w:t>
      </w:r>
      <w:r>
        <w:rPr>
          <w:rFonts w:hint="eastAsia" w:ascii="仿宋" w:hAnsi="仿宋" w:eastAsia="仿宋_GB2312"/>
          <w:sz w:val="32"/>
          <w:szCs w:val="32"/>
        </w:rPr>
        <w:t>黄冈基础教育资源和教学案例库建设研究</w:t>
      </w:r>
      <w:r>
        <w:rPr>
          <w:rFonts w:hint="eastAsia" w:ascii="仿宋" w:hAnsi="仿宋" w:eastAsia="仿宋_GB2312"/>
          <w:sz w:val="32"/>
          <w:szCs w:val="32"/>
          <w:lang w:eastAsia="zh-CN"/>
        </w:rPr>
        <w:t>；</w:t>
      </w:r>
      <w:r>
        <w:rPr>
          <w:rFonts w:hint="eastAsia" w:ascii="仿宋" w:hAnsi="仿宋" w:eastAsia="仿宋_GB2312"/>
          <w:sz w:val="32"/>
          <w:szCs w:val="32"/>
        </w:rPr>
        <w:t>黄冈基础教育监测与评估平台建设的应用</w:t>
      </w:r>
      <w:r>
        <w:rPr>
          <w:rFonts w:hint="eastAsia" w:ascii="仿宋" w:hAnsi="仿宋" w:eastAsia="仿宋_GB2312"/>
          <w:sz w:val="32"/>
          <w:szCs w:val="32"/>
          <w:lang w:eastAsia="zh-CN"/>
        </w:rPr>
        <w:t>。</w:t>
      </w:r>
    </w:p>
    <w:p w14:paraId="6A1B12FE">
      <w:pPr>
        <w:adjustRightInd w:val="0"/>
        <w:snapToGrid w:val="0"/>
        <w:spacing w:line="540" w:lineRule="exact"/>
        <w:ind w:firstLine="640" w:firstLineChars="200"/>
        <w:rPr>
          <w:rFonts w:ascii="仿宋" w:hAnsi="仿宋" w:eastAsia="仿宋"/>
          <w:sz w:val="32"/>
          <w:szCs w:val="32"/>
        </w:rPr>
      </w:pPr>
    </w:p>
    <w:sectPr>
      <w:headerReference r:id="rId5" w:type="default"/>
      <w:footerReference r:id="rId7" w:type="default"/>
      <w:headerReference r:id="rId6" w:type="even"/>
      <w:footerReference r:id="rId8" w:type="even"/>
      <w:pgSz w:w="11907" w:h="16839"/>
      <w:pgMar w:top="1928" w:right="1588" w:bottom="1531" w:left="1588" w:header="851" w:footer="992"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7936">
    <w:pPr>
      <w:pStyle w:val="3"/>
      <w:ind w:right="210" w:rightChars="100"/>
      <w:jc w:val="right"/>
      <w:rPr>
        <w:rFonts w:ascii="宋体" w:hAnsi="宋体" w:eastAsia="宋体"/>
        <w:sz w:val="28"/>
      </w:rPr>
    </w:pPr>
    <w:r>
      <w:rPr>
        <w:rFonts w:hint="eastAsia" w:ascii="宋体" w:hAnsi="宋体" w:eastAsia="宋体"/>
        <w:sz w:val="28"/>
      </w:rPr>
      <w:t>—</w:t>
    </w: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19</w:t>
    </w:r>
    <w:r>
      <w:rPr>
        <w:rFonts w:ascii="宋体" w:hAnsi="宋体" w:eastAsia="宋体"/>
        <w:sz w:val="28"/>
      </w:rPr>
      <w:fldChar w:fldCharType="end"/>
    </w:r>
    <w:r>
      <w:rPr>
        <w:rFonts w:ascii="宋体" w:hAnsi="宋体" w:eastAsia="宋体"/>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E2D91">
    <w:pPr>
      <w:pStyle w:val="3"/>
      <w:ind w:firstLine="280" w:firstLineChars="100"/>
      <w:rPr>
        <w:rFonts w:ascii="宋体" w:hAnsi="宋体" w:eastAsia="宋体"/>
        <w:sz w:val="28"/>
      </w:rPr>
    </w:pPr>
    <w:r>
      <w:rPr>
        <w:rFonts w:hint="eastAsia" w:ascii="宋体" w:hAnsi="宋体" w:eastAsia="宋体"/>
        <w:sz w:val="28"/>
      </w:rPr>
      <w:t>—</w:t>
    </w: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0108">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400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evenAndOddHeaders w:val="1"/>
  <w:drawingGridHorizontalSpacing w:val="213"/>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NzY2NmJjMzNiMTY5YjIwMmFlYThjNWE2NDI5MTgifQ=="/>
  </w:docVars>
  <w:rsids>
    <w:rsidRoot w:val="00797F77"/>
    <w:rsid w:val="000057FD"/>
    <w:rsid w:val="00007DB2"/>
    <w:rsid w:val="00075206"/>
    <w:rsid w:val="00077329"/>
    <w:rsid w:val="000A0AD8"/>
    <w:rsid w:val="000A630C"/>
    <w:rsid w:val="000B4D7E"/>
    <w:rsid w:val="00105F86"/>
    <w:rsid w:val="00121BB1"/>
    <w:rsid w:val="00140D9A"/>
    <w:rsid w:val="00152E91"/>
    <w:rsid w:val="00167742"/>
    <w:rsid w:val="0018379C"/>
    <w:rsid w:val="001E2252"/>
    <w:rsid w:val="002004B4"/>
    <w:rsid w:val="0020338C"/>
    <w:rsid w:val="00205ABA"/>
    <w:rsid w:val="00213AF3"/>
    <w:rsid w:val="00231D5A"/>
    <w:rsid w:val="00240143"/>
    <w:rsid w:val="00245D27"/>
    <w:rsid w:val="00287D9F"/>
    <w:rsid w:val="002C1465"/>
    <w:rsid w:val="002E2179"/>
    <w:rsid w:val="002F25F6"/>
    <w:rsid w:val="00321075"/>
    <w:rsid w:val="00334F1E"/>
    <w:rsid w:val="00356A3D"/>
    <w:rsid w:val="003C1237"/>
    <w:rsid w:val="003C26D2"/>
    <w:rsid w:val="003F2563"/>
    <w:rsid w:val="00404E9D"/>
    <w:rsid w:val="00462B36"/>
    <w:rsid w:val="00477A8F"/>
    <w:rsid w:val="004974B0"/>
    <w:rsid w:val="004B062D"/>
    <w:rsid w:val="004D037C"/>
    <w:rsid w:val="004D0C7F"/>
    <w:rsid w:val="00537B66"/>
    <w:rsid w:val="0054533D"/>
    <w:rsid w:val="00561EFE"/>
    <w:rsid w:val="00562BC8"/>
    <w:rsid w:val="00594D5D"/>
    <w:rsid w:val="005F4047"/>
    <w:rsid w:val="00624F6E"/>
    <w:rsid w:val="00665DE2"/>
    <w:rsid w:val="00695B8B"/>
    <w:rsid w:val="006A309D"/>
    <w:rsid w:val="006A7651"/>
    <w:rsid w:val="006E2CFC"/>
    <w:rsid w:val="00745E7E"/>
    <w:rsid w:val="00795F74"/>
    <w:rsid w:val="00797F77"/>
    <w:rsid w:val="007F6CD6"/>
    <w:rsid w:val="00817E08"/>
    <w:rsid w:val="008319C4"/>
    <w:rsid w:val="00843802"/>
    <w:rsid w:val="00867FD6"/>
    <w:rsid w:val="008C6BCD"/>
    <w:rsid w:val="008F24BF"/>
    <w:rsid w:val="00915D53"/>
    <w:rsid w:val="009474AE"/>
    <w:rsid w:val="009A25B0"/>
    <w:rsid w:val="009C33EF"/>
    <w:rsid w:val="009D43DB"/>
    <w:rsid w:val="00A205F2"/>
    <w:rsid w:val="00A54758"/>
    <w:rsid w:val="00A6119C"/>
    <w:rsid w:val="00A725AD"/>
    <w:rsid w:val="00A87694"/>
    <w:rsid w:val="00AA732E"/>
    <w:rsid w:val="00AD3567"/>
    <w:rsid w:val="00AF2A29"/>
    <w:rsid w:val="00AF4936"/>
    <w:rsid w:val="00B10CA5"/>
    <w:rsid w:val="00B259D5"/>
    <w:rsid w:val="00B459E3"/>
    <w:rsid w:val="00B573CE"/>
    <w:rsid w:val="00B92B37"/>
    <w:rsid w:val="00BC6BD9"/>
    <w:rsid w:val="00BF43E5"/>
    <w:rsid w:val="00BF49EF"/>
    <w:rsid w:val="00C05EEE"/>
    <w:rsid w:val="00C2143C"/>
    <w:rsid w:val="00C5496A"/>
    <w:rsid w:val="00C84649"/>
    <w:rsid w:val="00C96BD9"/>
    <w:rsid w:val="00CA077A"/>
    <w:rsid w:val="00CB4E96"/>
    <w:rsid w:val="00D07A33"/>
    <w:rsid w:val="00D902D0"/>
    <w:rsid w:val="00DC194A"/>
    <w:rsid w:val="00E34ACA"/>
    <w:rsid w:val="00EA700B"/>
    <w:rsid w:val="00ED3FF7"/>
    <w:rsid w:val="00EF4CBA"/>
    <w:rsid w:val="00F2674F"/>
    <w:rsid w:val="00F34592"/>
    <w:rsid w:val="00F61964"/>
    <w:rsid w:val="00F72746"/>
    <w:rsid w:val="00F776DD"/>
    <w:rsid w:val="00F83240"/>
    <w:rsid w:val="00F8640B"/>
    <w:rsid w:val="00FC363D"/>
    <w:rsid w:val="00FC3F80"/>
    <w:rsid w:val="00FD1631"/>
    <w:rsid w:val="00FF162E"/>
    <w:rsid w:val="048C0506"/>
    <w:rsid w:val="08F82573"/>
    <w:rsid w:val="098358B1"/>
    <w:rsid w:val="0B7E384F"/>
    <w:rsid w:val="126B7CB0"/>
    <w:rsid w:val="140D728C"/>
    <w:rsid w:val="16AB85BD"/>
    <w:rsid w:val="1E9F40B0"/>
    <w:rsid w:val="1EA96280"/>
    <w:rsid w:val="1F7D6020"/>
    <w:rsid w:val="283B0D16"/>
    <w:rsid w:val="383730AC"/>
    <w:rsid w:val="3C297DF7"/>
    <w:rsid w:val="3DEA5985"/>
    <w:rsid w:val="40A16DD9"/>
    <w:rsid w:val="43D443D9"/>
    <w:rsid w:val="46CA0433"/>
    <w:rsid w:val="4AB77AAC"/>
    <w:rsid w:val="4CCB66A9"/>
    <w:rsid w:val="4E997E29"/>
    <w:rsid w:val="581B7F1B"/>
    <w:rsid w:val="583C5EC3"/>
    <w:rsid w:val="5B374935"/>
    <w:rsid w:val="60F6358D"/>
    <w:rsid w:val="66274C2C"/>
    <w:rsid w:val="672D69CD"/>
    <w:rsid w:val="68E6318E"/>
    <w:rsid w:val="6A0D2926"/>
    <w:rsid w:val="6C932AFF"/>
    <w:rsid w:val="6E7B37F8"/>
    <w:rsid w:val="728263FB"/>
    <w:rsid w:val="7A3A0597"/>
    <w:rsid w:val="7C9C479B"/>
    <w:rsid w:val="7D250931"/>
    <w:rsid w:val="7D7FC02D"/>
    <w:rsid w:val="7F2056FC"/>
    <w:rsid w:val="7F77DC6C"/>
    <w:rsid w:val="A6D63C10"/>
    <w:rsid w:val="BF8E1156"/>
    <w:rsid w:val="BFF5E44B"/>
    <w:rsid w:val="EE972B97"/>
    <w:rsid w:val="FFFFF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spacing w:beforeAutospacing="1" w:afterAutospacing="1" w:line="240" w:lineRule="auto"/>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qFormat/>
    <w:uiPriority w:val="0"/>
    <w:pPr>
      <w:spacing w:beforeAutospacing="1" w:afterAutospacing="1" w:line="240" w:lineRule="auto"/>
      <w:jc w:val="left"/>
    </w:pPr>
    <w:rPr>
      <w:rFonts w:ascii="Calibri" w:hAnsi="Calibri" w:eastAsia="宋体" w:cs="Times New Roman"/>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paragraph" w:styleId="13">
    <w:name w:val="List Paragraph"/>
    <w:basedOn w:val="1"/>
    <w:qFormat/>
    <w:uiPriority w:val="34"/>
    <w:pPr>
      <w:spacing w:line="240" w:lineRule="auto"/>
      <w:ind w:firstLine="420" w:firstLineChars="200"/>
    </w:pPr>
  </w:style>
  <w:style w:type="character" w:customStyle="1" w:styleId="14">
    <w:name w:val="标题 1 Char"/>
    <w:basedOn w:val="8"/>
    <w:link w:val="2"/>
    <w:qFormat/>
    <w:uiPriority w:val="0"/>
    <w:rPr>
      <w:rFonts w:ascii="宋体" w:hAnsi="宋体" w:eastAsia="宋体" w:cs="Times New Roman"/>
      <w:b/>
      <w:kern w:val="44"/>
      <w:sz w:val="48"/>
      <w:szCs w:val="48"/>
    </w:rPr>
  </w:style>
  <w:style w:type="paragraph" w:customStyle="1" w:styleId="15">
    <w:name w:val="正文文本 (3)"/>
    <w:basedOn w:val="1"/>
    <w:qFormat/>
    <w:uiPriority w:val="0"/>
    <w:pPr>
      <w:shd w:val="clear" w:color="auto" w:fill="FFFFFF"/>
      <w:spacing w:after="310"/>
      <w:ind w:left="510"/>
    </w:pPr>
    <w:rPr>
      <w:rFonts w:ascii="MingLiU" w:hAnsi="MingLiU" w:eastAsia="MingLiU" w:cs="MingLiU"/>
      <w:sz w:val="30"/>
      <w:szCs w:val="3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gjc</Company>
  <Pages>11</Pages>
  <Words>5844</Words>
  <Characters>5902</Characters>
  <Lines>71</Lines>
  <Paragraphs>20</Paragraphs>
  <TotalTime>48</TotalTime>
  <ScaleCrop>false</ScaleCrop>
  <LinksUpToDate>false</LinksUpToDate>
  <CharactersWithSpaces>5902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2024-06-25T03:25:00Z</dcterms:created>
  <dc:creator>gjc1208</dc:creator>
  <cp:lastModifiedBy>Administrator</cp:lastModifiedBy>
  <cp:lastPrinted>2024-06-25T07:40:00Z</cp:lastPrinted>
  <dcterms:modified xsi:type="dcterms:W3CDTF">2026-03-27T09:28:53Z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1EBA78BA804446BD92853669F66538D1_13</vt:lpwstr>
  </property>
  <property fmtid="{D5CDD505-2E9C-101B-9397-08002B2CF9AE}" pid="4" name="KSOTemplateDocerSaveRecord">
    <vt:lpwstr>eyJoZGlkIjoiMDJmMDI4MzI3ZmY2MTFmMzY2NWRlN2UxZWYxNDgxNGIiLCJ1c2VySWQiOiI5OTAyMDA2MzMifQ==</vt:lpwstr>
  </property>
</Properties>
</file>